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08 - VIOLAZIONI E SANZIONI AMMINISTRATIVE E PENALI</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04/10/2023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VIOLAZIONI E SANZIONI AMMINISTRATIVE E PENALI</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Adempimento di obblighi previsti da leggi in adempimento della vigente normativa in materia di  sanzioni amministrative e penali nonchè ricorsi per violazioni al Codice della Strada.</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Adempimento di un obbligo legale del Titolare</w:t>
      </w: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DL n. 285/1992 (CdS)</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Beni/proprietà/possessi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Immagini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Giudiziari, diversi da condanne penali e reati</w:t>
            </w:r>
          </w:p>
        </w:tc>
      </w:tr>
      <w:tr>
        <w:trPr>
          <w:trHeight w:val="400" w:hRule="atLeast"/>
          <w:cantSplit w:val="1"/>
        </w:trPr>
        <w:tc>
          <w:tcPr>
            <w:vAlign w:val="center"/>
            <w:gridSpan w:val="1"/>
            <w:vMerge w:val="restart"/>
          </w:tcPr>
          <w:p>
            <w:pPr/>
            <w:r>
              <w:rPr/>
              <w:t xml:space="preserve">Giudiziari</w:t>
            </w:r>
          </w:p>
        </w:tc>
        <w:tc>
          <w:tcPr>
            <w:vAlign w:val="center"/>
            <w:gridSpan w:val="1"/>
          </w:tcPr>
          <w:p>
            <w:pPr/>
            <w:r>
              <w:rPr/>
              <w:t xml:space="preserve">condanne penali e reati</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Organismi pubblici; Fornitori di servizi;</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obbligatoria</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Conservazione dei dati fino al raggiungimento della finalità connessa al servizio.</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